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44731B">
        <w:rPr>
          <w:rFonts w:ascii="Book Antiqua" w:hAnsi="Book Antiqua" w:cs="Book Antiqua"/>
          <w:b/>
          <w:bCs/>
          <w:color w:val="000000"/>
          <w:kern w:val="36"/>
          <w:u w:val="single"/>
        </w:rPr>
        <w:t>1</w:t>
      </w:r>
      <w:r w:rsidR="00C673F2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</w:t>
      </w:r>
      <w:r w:rsidR="0044731B">
        <w:rPr>
          <w:rFonts w:ascii="Book Antiqua" w:hAnsi="Book Antiqua" w:cs="Book Antiqua"/>
          <w:b/>
          <w:bCs/>
          <w:color w:val="000000"/>
          <w:kern w:val="36"/>
          <w:u w:val="single"/>
        </w:rPr>
        <w:t>8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Ulice Luční (I. a II. etapa)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CZ.1.09/2.2.00/81.01315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 xml:space="preserve">Ulice </w:t>
      </w:r>
      <w:r w:rsidR="00DD6798">
        <w:rPr>
          <w:rFonts w:ascii="Book Antiqua" w:hAnsi="Book Antiqua" w:cs="Book Antiqua"/>
        </w:rPr>
        <w:t>Luční (I. a II. etapa)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44731B" w:rsidRDefault="0044731B" w:rsidP="0044731B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Druhá monitorovací zpráva o zajištění udržitelnosti se podávala v lednu 2018.  Třetí rok sledovaného období v rámci udržitelnosti potrvá do 7. 12. 2018. </w:t>
      </w:r>
    </w:p>
    <w:p w:rsidR="005870C9" w:rsidRPr="003B69AD" w:rsidRDefault="005870C9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5870C9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E17E5F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46329" w:rsidRPr="001151F8">
          <w:rPr>
            <w:rStyle w:val="Hypertextovodkaz"/>
            <w:rFonts w:ascii="Book Antiqua" w:hAnsi="Book Antiqua" w:cs="Book Antiqua"/>
          </w:rPr>
          <w:t>http://www.marianskolazensko.org/products/nazev-projektu-ulice-lucni-i-a-ii-etapa/</w:t>
        </w:r>
      </w:hyperlink>
    </w:p>
    <w:p w:rsidR="00D32744" w:rsidRDefault="0044731B" w:rsidP="0044731B">
      <w:pPr>
        <w:spacing w:after="0" w:line="240" w:lineRule="auto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t>a také na webových stránkách partnerů projektu</w:t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037DFF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2790825" cy="2085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DFF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329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4BD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2E21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31B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0C9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F10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3F2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0A01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798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4FC0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ulice-lucni-i-a-ii-etap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2018-09-10T07:48:00Z</dcterms:created>
  <dcterms:modified xsi:type="dcterms:W3CDTF">2018-09-18T08:27:00Z</dcterms:modified>
</cp:coreProperties>
</file>